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2018D1FE"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12AF4453" w14:textId="29B8CE58"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68DCE184" w14:textId="35C665D9"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7CC47C16" w14:textId="799CB3C4"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8D950DB" w14:textId="123C9761"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63FF9495" w14:textId="201AA313"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5EF40CB7" w14:textId="5C4BFFC8"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398BA98" w14:textId="26F0AD44" w:rsidR="000C08C0" w:rsidRPr="00EA67F8" w:rsidRDefault="00202D94"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F208693"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362B5CB8"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187935AA"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D55078">
              <w:rPr>
                <w:rFonts w:ascii="Georgia" w:hAnsi="Georgia" w:cs="Times New Roman"/>
                <w:color w:val="1F3864" w:themeColor="accent1" w:themeShade="80"/>
                <w:sz w:val="24"/>
                <w:szCs w:val="24"/>
              </w:rPr>
              <w:t>14</w:t>
            </w:r>
            <w:r w:rsidRPr="00EB5AA3">
              <w:rPr>
                <w:rFonts w:ascii="Georgia" w:hAnsi="Georgia" w:cs="Times New Roman"/>
                <w:color w:val="1F3864" w:themeColor="accent1" w:themeShade="80"/>
                <w:sz w:val="24"/>
                <w:szCs w:val="24"/>
              </w:rPr>
              <w:t xml:space="preserve">» </w:t>
            </w:r>
            <w:r w:rsidR="00976426">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Кон-</w:t>
            </w:r>
            <w:r w:rsidR="00D55078">
              <w:rPr>
                <w:rFonts w:ascii="Georgia" w:hAnsi="Georgia" w:cs="Times New Roman"/>
                <w:color w:val="1F3864" w:themeColor="accent1" w:themeShade="80"/>
                <w:sz w:val="24"/>
                <w:szCs w:val="24"/>
              </w:rPr>
              <w:t>14.25</w:t>
            </w:r>
          </w:p>
          <w:p w14:paraId="50106532" w14:textId="7F5D8BDA"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___</w:t>
            </w:r>
          </w:p>
          <w:p w14:paraId="2007209C" w14:textId="4488B284" w:rsidR="000C08C0" w:rsidRPr="000C08C0" w:rsidRDefault="000C08C0" w:rsidP="00A17AEA">
            <w:pPr>
              <w:rPr>
                <w:rFonts w:ascii="Times New Roman" w:hAnsi="Times New Roman" w:cs="Times New Roman"/>
                <w:sz w:val="28"/>
                <w:szCs w:val="28"/>
              </w:rPr>
            </w:pPr>
          </w:p>
        </w:tc>
      </w:tr>
    </w:tbl>
    <w:p w14:paraId="1A63A738" w14:textId="3B32ABA9"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53FAC70E"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26772015"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DF5453">
        <w:rPr>
          <w:rFonts w:ascii="Times New Roman" w:eastAsia="Arial Unicode MS" w:hAnsi="Times New Roman" w:cs="Times New Roman"/>
          <w:sz w:val="28"/>
          <w:szCs w:val="28"/>
          <w:bdr w:val="none" w:sz="0" w:space="0" w:color="auto" w:frame="1"/>
        </w:rPr>
        <w:t>поставку автомобильных шин</w:t>
      </w:r>
      <w:r w:rsidRPr="000C08C0">
        <w:rPr>
          <w:rFonts w:ascii="Times New Roman" w:eastAsia="Arial Unicode MS" w:hAnsi="Times New Roman" w:cs="Times New Roman"/>
          <w:sz w:val="28"/>
          <w:szCs w:val="28"/>
          <w:bdr w:val="none" w:sz="0" w:space="0" w:color="auto" w:frame="1"/>
        </w:rPr>
        <w:t>.</w:t>
      </w:r>
    </w:p>
    <w:bookmarkEnd w:id="0"/>
    <w:p w14:paraId="23FE5A9C" w14:textId="34DC5A5B"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2A04667F"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23F0AB1A"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144CE9A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E25482">
        <w:rPr>
          <w:rFonts w:ascii="Times New Roman" w:eastAsia="Arial Unicode MS" w:hAnsi="Times New Roman" w:cs="Times New Roman"/>
          <w:sz w:val="28"/>
          <w:szCs w:val="28"/>
          <w:bdr w:val="none" w:sz="0" w:space="0" w:color="auto" w:frame="1"/>
        </w:rPr>
        <w:t>47</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0E4D40AC"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67E11005" w14:textId="77777777" w:rsidTr="00CE5683">
        <w:trPr>
          <w:trHeight w:val="562"/>
        </w:trPr>
        <w:tc>
          <w:tcPr>
            <w:tcW w:w="4962" w:type="dxa"/>
          </w:tcPr>
          <w:p w14:paraId="30653160" w14:textId="07122DBE" w:rsidR="000C08C0" w:rsidRPr="000C08C0" w:rsidRDefault="00DF5453" w:rsidP="00872E09">
            <w:pPr>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vAlign w:val="bottom"/>
            <w:hideMark/>
          </w:tcPr>
          <w:p w14:paraId="652F6FCE" w14:textId="76B9FA9A" w:rsidR="000C08C0" w:rsidRPr="000C08C0" w:rsidRDefault="00DF5453"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7E54D96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53FDAE88"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bookmarkStart w:id="1" w:name="_GoBack"/>
      <w:bookmarkEnd w:id="1"/>
    </w:p>
    <w:p w14:paraId="5BE7A693" w14:textId="4711B0E0"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0F131D71"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Start w:id="4" w:name="_Hlk213409740"/>
      <w:bookmarkEnd w:id="3"/>
      <w:r w:rsidR="00DF5453" w:rsidRPr="00DF5453">
        <w:rPr>
          <w:rFonts w:ascii="Times New Roman" w:hAnsi="Times New Roman" w:cs="Times New Roman"/>
          <w:b/>
          <w:kern w:val="2"/>
          <w:sz w:val="24"/>
          <w:szCs w:val="24"/>
          <w14:ligatures w14:val="standardContextual"/>
        </w:rPr>
        <w:t>на поставку автомобильных шин</w:t>
      </w:r>
      <w:bookmarkEnd w:id="4"/>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3EA7750F" w14:textId="4BD44B03"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4" w:name="_Hlk210903046"/>
          </w:p>
        </w:tc>
        <w:tc>
          <w:tcPr>
            <w:tcW w:w="9089" w:type="dxa"/>
          </w:tcPr>
          <w:p w14:paraId="783054CA" w14:textId="04C7B841" w:rsidR="00282023" w:rsidRPr="000C08C0" w:rsidRDefault="00DF5453" w:rsidP="00BB3BE1">
            <w:pPr>
              <w:ind w:firstLine="709"/>
              <w:jc w:val="both"/>
              <w:rPr>
                <w:rFonts w:ascii="Times New Roman" w:hAnsi="Times New Roman"/>
                <w:bCs/>
              </w:rPr>
            </w:pPr>
            <w:r>
              <w:rPr>
                <w:rFonts w:ascii="Times New Roman" w:hAnsi="Times New Roman"/>
                <w:bCs/>
              </w:rPr>
              <w:t>Поставка автомобильных шин</w:t>
            </w:r>
          </w:p>
        </w:tc>
      </w:tr>
      <w:bookmarkEnd w:id="24"/>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4092D11"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76EF1DBE" w:rsidR="009A3FA4" w:rsidRPr="000C08C0" w:rsidRDefault="00DF5453" w:rsidP="00730F74">
            <w:pPr>
              <w:ind w:firstLine="626"/>
              <w:jc w:val="both"/>
              <w:rPr>
                <w:rFonts w:ascii="Times New Roman" w:hAnsi="Times New Roman"/>
              </w:rPr>
            </w:pPr>
            <w:r w:rsidRPr="00DF5453">
              <w:rPr>
                <w:rFonts w:ascii="Times New Roman" w:hAnsi="Times New Roman"/>
              </w:rPr>
              <w:t>475 442 (Четыреста семьдесят пять тысяч четыреста сорок два) рубля 64 копейки</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54249553"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D55078">
              <w:rPr>
                <w:rFonts w:ascii="Times New Roman" w:hAnsi="Times New Roman"/>
                <w:bCs/>
                <w:sz w:val="24"/>
                <w:szCs w:val="24"/>
              </w:rPr>
              <w:t>15</w:t>
            </w:r>
            <w:r w:rsidR="0003578F" w:rsidRPr="00C019BB">
              <w:rPr>
                <w:rFonts w:ascii="Times New Roman" w:hAnsi="Times New Roman"/>
                <w:bCs/>
                <w:sz w:val="24"/>
                <w:szCs w:val="24"/>
              </w:rPr>
              <w:t xml:space="preserve">» </w:t>
            </w:r>
            <w:r w:rsidR="00976426">
              <w:rPr>
                <w:rFonts w:ascii="Times New Roman" w:hAnsi="Times New Roman"/>
                <w:bCs/>
                <w:sz w:val="24"/>
                <w:szCs w:val="24"/>
              </w:rPr>
              <w:t>ноября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6E8CF1DD" w14:textId="162D1EB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D55078">
              <w:rPr>
                <w:rFonts w:ascii="Times New Roman" w:hAnsi="Times New Roman"/>
                <w:bCs/>
                <w:spacing w:val="-6"/>
                <w:sz w:val="24"/>
                <w:szCs w:val="24"/>
              </w:rPr>
              <w:t>20</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ноября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3D2080F0"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7E35268"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D55078">
              <w:rPr>
                <w:rFonts w:ascii="Times New Roman" w:hAnsi="Times New Roman"/>
              </w:rPr>
              <w:t>15</w:t>
            </w:r>
            <w:r w:rsidRPr="00C019BB">
              <w:rPr>
                <w:rFonts w:ascii="Times New Roman" w:hAnsi="Times New Roman"/>
              </w:rPr>
              <w:t>»</w:t>
            </w:r>
            <w:r w:rsidR="005E7677" w:rsidRPr="00C019BB">
              <w:rPr>
                <w:rFonts w:ascii="Times New Roman" w:hAnsi="Times New Roman"/>
              </w:rPr>
              <w:t xml:space="preserve"> </w:t>
            </w:r>
            <w:r w:rsidR="00976426">
              <w:rPr>
                <w:rFonts w:ascii="Times New Roman" w:hAnsi="Times New Roman"/>
                <w:bCs/>
              </w:rPr>
              <w:t>ноября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0AB0A40" w14:textId="48F80C0D"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D55078">
              <w:rPr>
                <w:rFonts w:ascii="Times New Roman" w:hAnsi="Times New Roman"/>
              </w:rPr>
              <w:t>17</w:t>
            </w:r>
            <w:r w:rsidR="00136E4E" w:rsidRPr="009A4C0D">
              <w:rPr>
                <w:rFonts w:ascii="Times New Roman" w:hAnsi="Times New Roman"/>
              </w:rPr>
              <w:t xml:space="preserve">» </w:t>
            </w:r>
            <w:r w:rsidR="009E3263"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09790AE0" w14:textId="50B3BD47"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«17</w:t>
            </w:r>
            <w:r w:rsidR="00136E4E" w:rsidRPr="009A4C0D">
              <w:rPr>
                <w:rFonts w:ascii="Times New Roman" w:hAnsi="Times New Roman"/>
              </w:rPr>
              <w:t xml:space="preserve">» </w:t>
            </w:r>
            <w:r w:rsidR="00C019BB" w:rsidRPr="009A4C0D">
              <w:rPr>
                <w:rFonts w:ascii="Times New Roman" w:hAnsi="Times New Roman"/>
                <w:bCs/>
              </w:rPr>
              <w:t>ноября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26E9468A" w:rsidR="009A3FA4" w:rsidRPr="000C08C0" w:rsidRDefault="00136E4E" w:rsidP="00A961F4">
            <w:pPr>
              <w:rPr>
                <w:rFonts w:ascii="Times New Roman" w:hAnsi="Times New Roman"/>
              </w:rPr>
            </w:pPr>
            <w:r w:rsidRPr="00C019BB">
              <w:rPr>
                <w:rFonts w:ascii="Times New Roman" w:hAnsi="Times New Roman"/>
              </w:rPr>
              <w:t>«</w:t>
            </w:r>
            <w:r w:rsidR="00D55078">
              <w:rPr>
                <w:rFonts w:ascii="Times New Roman" w:hAnsi="Times New Roman"/>
              </w:rPr>
              <w:t>20</w:t>
            </w:r>
            <w:r w:rsidRPr="00C019BB">
              <w:rPr>
                <w:rFonts w:ascii="Times New Roman" w:hAnsi="Times New Roman"/>
              </w:rPr>
              <w:t xml:space="preserve">» </w:t>
            </w:r>
            <w:r w:rsidR="00C019BB">
              <w:rPr>
                <w:rFonts w:ascii="Times New Roman" w:hAnsi="Times New Roman"/>
                <w:bCs/>
              </w:rPr>
              <w:t>ноября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4DA1D1F8" w:rsidR="009A3FA4" w:rsidRPr="00076A76" w:rsidRDefault="00136E4E" w:rsidP="00076A76">
            <w:pPr>
              <w:rPr>
                <w:rFonts w:ascii="Times New Roman" w:hAnsi="Times New Roman"/>
                <w:highlight w:val="yellow"/>
              </w:rPr>
            </w:pPr>
            <w:r w:rsidRPr="009A4C0D">
              <w:rPr>
                <w:rFonts w:ascii="Times New Roman" w:hAnsi="Times New Roman"/>
              </w:rPr>
              <w:t>«</w:t>
            </w:r>
            <w:r w:rsidR="00D55078">
              <w:rPr>
                <w:rFonts w:ascii="Times New Roman" w:hAnsi="Times New Roman"/>
              </w:rPr>
              <w:t>21</w:t>
            </w:r>
            <w:r w:rsidRPr="009A4C0D">
              <w:rPr>
                <w:rFonts w:ascii="Times New Roman" w:hAnsi="Times New Roman"/>
              </w:rPr>
              <w:t>»</w:t>
            </w:r>
            <w:r w:rsidR="00C019BB" w:rsidRPr="009A4C0D">
              <w:rPr>
                <w:rFonts w:ascii="Times New Roman" w:hAnsi="Times New Roman"/>
              </w:rPr>
              <w:t xml:space="preserve"> ноября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138782FA"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8"/>
    <w:p w14:paraId="6A2707D7"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A98A3C8" w14:textId="77777777" w:rsidR="00DF5453"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 xml:space="preserve">Начальная (максимальная) цена договора по результатам экспертизы НМЦ (ЗАКЛЮЧЕНИЕ ООО «Центр инжиниринговых услуг и технической экспертизы» №024-ЦД/КИНОПАРК-30102510/10-25 от 05 ноября 2025 г.): </w:t>
      </w:r>
    </w:p>
    <w:p w14:paraId="73F0FB0B" w14:textId="2D066D37" w:rsidR="00DF5453" w:rsidRPr="00DF5453" w:rsidRDefault="00DF5453" w:rsidP="00DF5453">
      <w:pPr>
        <w:widowControl w:val="0"/>
        <w:spacing w:after="0" w:line="240" w:lineRule="auto"/>
        <w:ind w:firstLine="709"/>
        <w:jc w:val="both"/>
        <w:rPr>
          <w:rFonts w:ascii="Times New Roman" w:eastAsia="Times New Roman" w:hAnsi="Times New Roman" w:cs="Times New Roman"/>
          <w:sz w:val="24"/>
          <w:szCs w:val="24"/>
          <w:lang w:eastAsia="ru-RU"/>
        </w:rPr>
      </w:pPr>
      <w:r w:rsidRPr="00DF5453">
        <w:rPr>
          <w:rFonts w:ascii="Times New Roman" w:eastAsia="Times New Roman" w:hAnsi="Times New Roman" w:cs="Times New Roman"/>
          <w:sz w:val="24"/>
          <w:szCs w:val="24"/>
          <w:lang w:eastAsia="ru-RU"/>
        </w:rPr>
        <w:t>Рекомендуемая экспертной организацией начальная (максимальная) цена договора составляет 475 442 (Четыреста семьдесят пять тысяч четыреста сорок два) рубля 64 копейки, с учетом НДС 20% в размере 79 240 (Семьдесят девять тысяч двести сорок) рублей 44 копейки.</w:t>
      </w:r>
    </w:p>
    <w:p w14:paraId="15E845D4" w14:textId="6670AA2C" w:rsidR="00282023" w:rsidRPr="000C08C0" w:rsidRDefault="00DF5453"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DF5453">
        <w:rPr>
          <w:rFonts w:ascii="Times New Roman" w:eastAsia="Times New Roman" w:hAnsi="Times New Roman" w:cs="Times New Roman"/>
          <w:sz w:val="24"/>
          <w:szCs w:val="24"/>
          <w:lang w:eastAsia="ru-RU"/>
        </w:rPr>
        <w:t>Начальная (максимальная) цена договора включает в себя расходы на перевозку, страхование,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r w:rsidR="00996A17"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87A9C08"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3" w:name="_Hlk213410589"/>
      <w:bookmarkEnd w:id="32"/>
      <w:r w:rsidR="008278C3" w:rsidRPr="008278C3">
        <w:rPr>
          <w:rFonts w:ascii="Times New Roman" w:hAnsi="Times New Roman" w:cs="Times New Roman"/>
          <w:b/>
          <w:kern w:val="2"/>
          <w:sz w:val="24"/>
          <w:szCs w:val="24"/>
          <w14:ligatures w14:val="standardContextual"/>
        </w:rPr>
        <w:t>на поставку автомобильных шин</w:t>
      </w:r>
      <w:bookmarkEnd w:id="33"/>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3BD6DFCF" w14:textId="41A4994C"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8278C3">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2 </w:t>
            </w:r>
            <w:r w:rsidR="008278C3">
              <w:rPr>
                <w:rFonts w:ascii="Times New Roman" w:hAnsi="Times New Roman" w:cs="Times New Roman"/>
                <w:b/>
                <w:bCs/>
                <w:iCs/>
                <w:kern w:val="2"/>
                <w:sz w:val="24"/>
                <w:szCs w:val="24"/>
                <w14:ligatures w14:val="standardContextual"/>
              </w:rPr>
              <w:t>к Техническому заданию п</w:t>
            </w:r>
            <w:r w:rsidRPr="00EB5AA3">
              <w:rPr>
                <w:rFonts w:ascii="Times New Roman" w:hAnsi="Times New Roman" w:cs="Times New Roman"/>
                <w:b/>
                <w:bCs/>
                <w:iCs/>
                <w:kern w:val="2"/>
                <w:sz w:val="24"/>
                <w:szCs w:val="24"/>
                <w14:ligatures w14:val="standardContextual"/>
              </w:rPr>
              <w:t xml:space="preserve">роекта Договора </w:t>
            </w:r>
            <w:r w:rsidR="003759FD" w:rsidRPr="00EB5AA3">
              <w:rPr>
                <w:rFonts w:ascii="Times New Roman" w:hAnsi="Times New Roman" w:cs="Times New Roman"/>
                <w:b/>
                <w:bCs/>
                <w:iCs/>
                <w:kern w:val="2"/>
                <w:sz w:val="24"/>
                <w:szCs w:val="24"/>
                <w14:ligatures w14:val="standardContextual"/>
              </w:rPr>
              <w:t>«</w:t>
            </w:r>
            <w:r w:rsidR="008278C3">
              <w:rPr>
                <w:rFonts w:ascii="Times New Roman" w:hAnsi="Times New Roman" w:cs="Times New Roman"/>
                <w:b/>
                <w:bCs/>
                <w:iCs/>
                <w:kern w:val="2"/>
                <w:sz w:val="24"/>
                <w:szCs w:val="24"/>
                <w14:ligatures w14:val="standardContextual"/>
              </w:rPr>
              <w:t>Спецификация</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7ABCC05"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8278C3">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1634CA5A"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32A93D56"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 xml:space="preserve">сведения о предложении Участника Закупки в формате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Word</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Microsoft</w:t>
      </w:r>
      <w:proofErr w:type="spellEnd"/>
      <w:r w:rsidRPr="00C574FC">
        <w:rPr>
          <w:rFonts w:ascii="Times New Roman" w:hAnsi="Times New Roman" w:cs="Times New Roman"/>
          <w:b/>
          <w:bCs/>
          <w:kern w:val="2"/>
          <w:sz w:val="24"/>
          <w:szCs w:val="24"/>
          <w:u w:val="single"/>
          <w14:ligatures w14:val="standardContextual"/>
        </w:rPr>
        <w:t xml:space="preserve"> </w:t>
      </w:r>
      <w:proofErr w:type="spellStart"/>
      <w:r w:rsidRPr="00C574FC">
        <w:rPr>
          <w:rFonts w:ascii="Times New Roman" w:hAnsi="Times New Roman" w:cs="Times New Roman"/>
          <w:b/>
          <w:bCs/>
          <w:kern w:val="2"/>
          <w:sz w:val="24"/>
          <w:szCs w:val="24"/>
          <w:u w:val="single"/>
          <w14:ligatures w14:val="standardContextual"/>
        </w:rPr>
        <w:t>Excel</w:t>
      </w:r>
      <w:proofErr w:type="spellEnd"/>
      <w:r w:rsidRPr="00C574FC">
        <w:rPr>
          <w:rFonts w:ascii="Times New Roman" w:hAnsi="Times New Roman" w:cs="Times New Roman"/>
          <w:b/>
          <w:bCs/>
          <w:kern w:val="2"/>
          <w:sz w:val="24"/>
          <w:szCs w:val="24"/>
          <w:u w:val="single"/>
          <w14:ligatures w14:val="standardContextual"/>
        </w:rPr>
        <w:t>)</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DF5453" w:rsidRPr="002C2CF3" w:rsidRDefault="00DF545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DF5453" w:rsidRDefault="00DF5453" w:rsidP="00282023"/>
                          <w:p w14:paraId="01DD5098" w14:textId="77777777" w:rsidR="00DF5453" w:rsidRPr="007E0612" w:rsidRDefault="00DF5453"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DF5453" w:rsidRPr="002C2CF3" w:rsidRDefault="00DF545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DF5453" w:rsidRDefault="00DF5453" w:rsidP="00282023"/>
                    <w:p w14:paraId="01DD5098" w14:textId="77777777" w:rsidR="00DF5453" w:rsidRPr="007E0612" w:rsidRDefault="00DF5453"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DF5453" w:rsidRDefault="00DF5453"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DF5453" w:rsidRDefault="00DF5453"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DF5453" w:rsidRDefault="00DF5453" w:rsidP="00282023">
                            <w:pPr>
                              <w:jc w:val="center"/>
                              <w:rPr>
                                <w:i/>
                              </w:rPr>
                            </w:pPr>
                            <w:r>
                              <w:rPr>
                                <w:rFonts w:ascii="Arial" w:hAnsi="Arial" w:cs="Arial"/>
                                <w:b/>
                              </w:rPr>
                              <w:t>Документы на Закупку</w:t>
                            </w:r>
                          </w:p>
                          <w:p w14:paraId="2E7493A8" w14:textId="77777777" w:rsidR="00DF5453" w:rsidRDefault="00DF545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DF5453" w:rsidRDefault="00DF5453" w:rsidP="00282023">
                      <w:pPr>
                        <w:jc w:val="center"/>
                        <w:rPr>
                          <w:i/>
                        </w:rPr>
                      </w:pPr>
                      <w:r>
                        <w:rPr>
                          <w:rFonts w:ascii="Arial" w:hAnsi="Arial" w:cs="Arial"/>
                          <w:b/>
                        </w:rPr>
                        <w:t>Документы на Закупку</w:t>
                      </w:r>
                    </w:p>
                    <w:p w14:paraId="2E7493A8" w14:textId="77777777" w:rsidR="00DF5453" w:rsidRDefault="00DF545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DF5453" w:rsidRDefault="00DF5453"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DF5453" w:rsidRDefault="00DF5453"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DF5453" w:rsidRDefault="00DF5453" w:rsidP="00282023">
                            <w:pPr>
                              <w:jc w:val="center"/>
                            </w:pPr>
                            <w:r>
                              <w:t>_________</w:t>
                            </w:r>
                          </w:p>
                          <w:p w14:paraId="496FC1EB" w14:textId="77777777" w:rsidR="00DF5453" w:rsidRDefault="00DF5453"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DF5453" w:rsidRDefault="00DF5453" w:rsidP="00282023">
                      <w:pPr>
                        <w:jc w:val="center"/>
                      </w:pPr>
                      <w:r>
                        <w:t>_________</w:t>
                      </w:r>
                    </w:p>
                    <w:p w14:paraId="496FC1EB" w14:textId="77777777" w:rsidR="00DF5453" w:rsidRDefault="00DF5453"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DF5453" w:rsidRPr="002C2CF3" w:rsidRDefault="00DF545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DF5453" w:rsidRPr="002C2CF3" w:rsidRDefault="00DF545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DF5453" w:rsidRDefault="00DF5453"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DF5453" w:rsidRDefault="00DF545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DF5453" w:rsidRDefault="00DF545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DF5453" w:rsidRDefault="00DF5453"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DF5453" w:rsidRDefault="00DF545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DF5453" w:rsidRDefault="00DF545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w:t>
      </w:r>
      <w:proofErr w:type="gramStart"/>
      <w:r w:rsidRPr="000C08C0">
        <w:rPr>
          <w:rFonts w:ascii="Times New Roman" w:hAnsi="Times New Roman" w:cs="Times New Roman"/>
          <w:kern w:val="2"/>
          <w:sz w:val="24"/>
          <w:szCs w:val="24"/>
          <w14:ligatures w14:val="standardContextual"/>
        </w:rPr>
        <w:t>_</w:t>
      </w:r>
      <w:proofErr w:type="gramEnd"/>
      <w:r w:rsidRPr="000C08C0">
        <w:rPr>
          <w:rFonts w:ascii="Times New Roman" w:hAnsi="Times New Roman" w:cs="Times New Roman"/>
          <w:kern w:val="2"/>
          <w:sz w:val="24"/>
          <w:szCs w:val="24"/>
          <w14:ligatures w14:val="standardContextual"/>
        </w:rPr>
        <w:t xml:space="preserve">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DBCF36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7746C" w:rsidRPr="0037746C">
        <w:rPr>
          <w:rFonts w:ascii="Times New Roman" w:eastAsia="Times New Roman" w:hAnsi="Times New Roman" w:cs="Times New Roman"/>
          <w:b/>
          <w:bCs/>
          <w:sz w:val="24"/>
          <w:szCs w:val="24"/>
          <w:lang w:eastAsia="ru-RU"/>
        </w:rPr>
        <w:t>на поставку автомобильных шин</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46B98DA3"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7746C" w:rsidRPr="0037746C">
        <w:rPr>
          <w:rFonts w:ascii="Times New Roman" w:eastAsia="Times New Roman" w:hAnsi="Times New Roman" w:cs="Times New Roman"/>
          <w:sz w:val="24"/>
          <w:szCs w:val="24"/>
          <w:lang w:eastAsia="ru-RU"/>
        </w:rPr>
        <w:t>на поставку автомобильных шин</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4BEF3605"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37746C" w:rsidRPr="0037746C">
              <w:rPr>
                <w:b/>
                <w:bCs/>
                <w:sz w:val="24"/>
                <w:u w:val="single"/>
              </w:rPr>
              <w:t>поставк</w:t>
            </w:r>
            <w:r w:rsidR="0037746C">
              <w:rPr>
                <w:b/>
                <w:bCs/>
                <w:sz w:val="24"/>
                <w:u w:val="single"/>
              </w:rPr>
              <w:t>а</w:t>
            </w:r>
            <w:r w:rsidR="0037746C" w:rsidRPr="0037746C">
              <w:rPr>
                <w:b/>
                <w:bCs/>
                <w:sz w:val="24"/>
                <w:u w:val="single"/>
              </w:rPr>
              <w:t xml:space="preserve"> автомобильных шин</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76A76" w:rsidRPr="009A4C0D">
              <w:rPr>
                <w:sz w:val="24"/>
                <w:u w:val="single"/>
              </w:rPr>
              <w:t>3</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34E34BCE"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37746C">
              <w:rPr>
                <w:b/>
                <w:bCs/>
                <w:spacing w:val="40"/>
                <w:sz w:val="24"/>
              </w:rPr>
              <w:t>4 754 426,40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D0542" w14:textId="77777777" w:rsidR="00DF5453" w:rsidRDefault="00DF5453" w:rsidP="00282023">
      <w:pPr>
        <w:spacing w:after="0" w:line="240" w:lineRule="auto"/>
      </w:pPr>
      <w:r>
        <w:separator/>
      </w:r>
    </w:p>
  </w:endnote>
  <w:endnote w:type="continuationSeparator" w:id="0">
    <w:p w14:paraId="1ED032C3" w14:textId="77777777" w:rsidR="00DF5453" w:rsidRDefault="00DF5453"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DF5453" w:rsidRDefault="00DF5453"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DF5453" w:rsidRDefault="00DF545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DF5453" w:rsidRDefault="00DF5453">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DF5453" w:rsidRDefault="00DF5453">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DF5453" w:rsidRDefault="00DF5453"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578A7" w14:textId="77777777" w:rsidR="00DF5453" w:rsidRDefault="00DF5453" w:rsidP="00282023">
      <w:pPr>
        <w:spacing w:after="0" w:line="240" w:lineRule="auto"/>
      </w:pPr>
      <w:r>
        <w:separator/>
      </w:r>
    </w:p>
  </w:footnote>
  <w:footnote w:type="continuationSeparator" w:id="0">
    <w:p w14:paraId="4563A6C4" w14:textId="77777777" w:rsidR="00DF5453" w:rsidRDefault="00DF5453" w:rsidP="00282023">
      <w:pPr>
        <w:spacing w:after="0" w:line="240" w:lineRule="auto"/>
      </w:pPr>
      <w:r>
        <w:continuationSeparator/>
      </w:r>
    </w:p>
  </w:footnote>
  <w:footnote w:id="1">
    <w:p w14:paraId="7D30D606" w14:textId="77777777" w:rsidR="00DF5453" w:rsidRPr="00690C70" w:rsidRDefault="00DF5453"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DF5453" w:rsidRDefault="00DF5453"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DF5453" w:rsidRPr="00B1583D" w:rsidRDefault="00DF5453"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78C3"/>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33F6-7A0D-4100-B211-1A4BA3A2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31</Pages>
  <Words>10629</Words>
  <Characters>60591</Characters>
  <Application>Microsoft Office Word</Application>
  <DocSecurity>0</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7</cp:revision>
  <cp:lastPrinted>2025-11-14T13:47:00Z</cp:lastPrinted>
  <dcterms:created xsi:type="dcterms:W3CDTF">2025-11-01T11:42:00Z</dcterms:created>
  <dcterms:modified xsi:type="dcterms:W3CDTF">2025-11-14T13:47:00Z</dcterms:modified>
</cp:coreProperties>
</file>